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ED1E" w14:textId="77777777" w:rsidR="004E3B82" w:rsidRPr="0021035B" w:rsidRDefault="00465754" w:rsidP="0021035B">
      <w:pPr>
        <w:jc w:val="center"/>
        <w:rPr>
          <w:rFonts w:ascii="Verdana" w:hAnsi="Verdana"/>
        </w:rPr>
      </w:pPr>
      <w:r w:rsidRPr="0021035B">
        <w:rPr>
          <w:rFonts w:ascii="Verdana" w:hAnsi="Verdana"/>
        </w:rPr>
        <w:t>Second Quarter PRA Grading Rubrics:</w:t>
      </w:r>
    </w:p>
    <w:p w14:paraId="17966F39" w14:textId="4EDA5072" w:rsidR="00747C4C" w:rsidRPr="00747C4C" w:rsidRDefault="00EC1D71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 w:rsidRPr="00747C4C">
        <w:rPr>
          <w:rFonts w:ascii="Verdana" w:hAnsi="Verdana"/>
          <w:color w:val="666666"/>
          <w:sz w:val="20"/>
          <w:szCs w:val="20"/>
        </w:rPr>
        <w:t xml:space="preserve">Your </w:t>
      </w:r>
      <w:r w:rsidR="00D6445C" w:rsidRPr="00747C4C">
        <w:rPr>
          <w:rFonts w:ascii="Verdana" w:hAnsi="Verdana"/>
          <w:color w:val="666666"/>
          <w:sz w:val="20"/>
          <w:szCs w:val="20"/>
        </w:rPr>
        <w:t xml:space="preserve">personal reading assignment is to </w:t>
      </w:r>
      <w:r w:rsidR="00D6445C" w:rsidRPr="00747C4C">
        <w:rPr>
          <w:rFonts w:ascii="Verdana" w:hAnsi="Verdana"/>
          <w:b/>
          <w:color w:val="666666"/>
          <w:sz w:val="20"/>
          <w:szCs w:val="20"/>
        </w:rPr>
        <w:t>read</w:t>
      </w:r>
      <w:r w:rsidR="00D6445C" w:rsidRPr="00747C4C">
        <w:rPr>
          <w:rFonts w:ascii="Verdana" w:hAnsi="Verdana"/>
          <w:color w:val="666666"/>
          <w:sz w:val="20"/>
          <w:szCs w:val="20"/>
        </w:rPr>
        <w:t xml:space="preserve"> a classic novel and </w:t>
      </w:r>
      <w:r w:rsidR="00D6445C" w:rsidRPr="00747C4C">
        <w:rPr>
          <w:rFonts w:ascii="Verdana" w:hAnsi="Verdana"/>
          <w:b/>
          <w:color w:val="666666"/>
          <w:sz w:val="20"/>
          <w:szCs w:val="20"/>
        </w:rPr>
        <w:t>create</w:t>
      </w:r>
      <w:r w:rsidR="00D6445C" w:rsidRPr="00747C4C">
        <w:rPr>
          <w:rFonts w:ascii="Verdana" w:hAnsi="Verdana"/>
          <w:color w:val="666666"/>
          <w:sz w:val="20"/>
          <w:szCs w:val="20"/>
        </w:rPr>
        <w:t xml:space="preserve"> a reflective journal as you read.  </w:t>
      </w:r>
      <w:r w:rsidR="00C21C85" w:rsidRPr="00747C4C">
        <w:rPr>
          <w:rFonts w:ascii="Verdana" w:hAnsi="Verdana"/>
          <w:color w:val="666666"/>
          <w:sz w:val="20"/>
          <w:szCs w:val="20"/>
        </w:rPr>
        <w:t>NCSCOS goals are RL 8.1, 8.2. 8.4</w:t>
      </w:r>
      <w:r w:rsidR="00F40662" w:rsidRPr="00747C4C">
        <w:rPr>
          <w:rFonts w:ascii="Verdana" w:hAnsi="Verdana"/>
          <w:color w:val="666666"/>
          <w:sz w:val="20"/>
          <w:szCs w:val="20"/>
        </w:rPr>
        <w:t xml:space="preserve">, 8.6 </w:t>
      </w:r>
      <w:r w:rsidR="00C21C85" w:rsidRPr="00747C4C">
        <w:rPr>
          <w:rFonts w:ascii="Verdana" w:hAnsi="Verdana"/>
          <w:color w:val="666666"/>
          <w:sz w:val="20"/>
          <w:szCs w:val="20"/>
        </w:rPr>
        <w:t>and 8.</w:t>
      </w:r>
      <w:r w:rsidR="00F40662" w:rsidRPr="00747C4C">
        <w:rPr>
          <w:rFonts w:ascii="Verdana" w:hAnsi="Verdana"/>
          <w:color w:val="666666"/>
          <w:sz w:val="20"/>
          <w:szCs w:val="20"/>
        </w:rPr>
        <w:t xml:space="preserve">10 and ensure that scholars can read for central ideas, </w:t>
      </w:r>
      <w:r w:rsidR="00695535" w:rsidRPr="00747C4C">
        <w:rPr>
          <w:rFonts w:ascii="Verdana" w:hAnsi="Verdana"/>
          <w:color w:val="666666"/>
          <w:sz w:val="20"/>
          <w:szCs w:val="20"/>
        </w:rPr>
        <w:t xml:space="preserve">explain </w:t>
      </w:r>
      <w:r w:rsidR="00F40662" w:rsidRPr="00747C4C">
        <w:rPr>
          <w:rFonts w:ascii="Verdana" w:hAnsi="Verdana"/>
          <w:color w:val="666666"/>
          <w:sz w:val="20"/>
          <w:szCs w:val="20"/>
        </w:rPr>
        <w:t>connections between characters</w:t>
      </w:r>
      <w:r w:rsidR="00695535" w:rsidRPr="00747C4C">
        <w:rPr>
          <w:rFonts w:ascii="Verdana" w:hAnsi="Verdana"/>
          <w:color w:val="666666"/>
          <w:sz w:val="20"/>
          <w:szCs w:val="20"/>
        </w:rPr>
        <w:t xml:space="preserve"> and events, and ultimately respond to lite</w:t>
      </w:r>
      <w:r w:rsidR="00747C4C" w:rsidRPr="00747C4C">
        <w:rPr>
          <w:rFonts w:ascii="Verdana" w:hAnsi="Verdana"/>
          <w:color w:val="666666"/>
          <w:sz w:val="20"/>
          <w:szCs w:val="20"/>
        </w:rPr>
        <w:t xml:space="preserve">rature from a specific perspective. </w:t>
      </w:r>
      <w:r w:rsidR="00747C4C">
        <w:rPr>
          <w:rFonts w:ascii="Verdana" w:hAnsi="Verdana"/>
          <w:color w:val="666666"/>
          <w:sz w:val="20"/>
          <w:szCs w:val="20"/>
        </w:rPr>
        <w:t xml:space="preserve">After the </w:t>
      </w:r>
      <w:r w:rsidR="00095AA3">
        <w:rPr>
          <w:rFonts w:ascii="Verdana" w:hAnsi="Verdana"/>
          <w:color w:val="666666"/>
          <w:sz w:val="20"/>
          <w:szCs w:val="20"/>
        </w:rPr>
        <w:t xml:space="preserve">reflective journals have been collected and graded, you will receive an assignment for a response to literature paper. </w:t>
      </w:r>
      <w:r w:rsidR="00926A27">
        <w:rPr>
          <w:rFonts w:ascii="Verdana" w:hAnsi="Verdana"/>
          <w:color w:val="666666"/>
          <w:sz w:val="20"/>
          <w:szCs w:val="20"/>
        </w:rPr>
        <w:t xml:space="preserve">Follow all writing submission guidelines on </w:t>
      </w:r>
      <w:hyperlink r:id="rId4" w:history="1">
        <w:r w:rsidR="00926A27" w:rsidRPr="006C3AFD">
          <w:rPr>
            <w:rStyle w:val="Hyperlink"/>
            <w:rFonts w:ascii="Verdana" w:hAnsi="Verdana"/>
            <w:sz w:val="20"/>
            <w:szCs w:val="20"/>
          </w:rPr>
          <w:t>www.hovanela.weebly.com</w:t>
        </w:r>
      </w:hyperlink>
      <w:r w:rsidR="00926A27">
        <w:rPr>
          <w:rFonts w:ascii="Verdana" w:hAnsi="Verdana"/>
          <w:color w:val="666666"/>
          <w:sz w:val="20"/>
          <w:szCs w:val="20"/>
        </w:rPr>
        <w:t xml:space="preserve"> for the paper. </w:t>
      </w:r>
      <w:r w:rsidR="0021305C">
        <w:rPr>
          <w:rFonts w:ascii="Verdana" w:hAnsi="Verdana"/>
          <w:color w:val="666666"/>
          <w:sz w:val="20"/>
          <w:szCs w:val="20"/>
        </w:rPr>
        <w:t xml:space="preserve">NO HANDWRITTEN PROJECTS WILL BE ACCEPTED. </w:t>
      </w:r>
      <w:bookmarkStart w:id="0" w:name="_GoBack"/>
      <w:bookmarkEnd w:id="0"/>
    </w:p>
    <w:p w14:paraId="7FECDFC9" w14:textId="77777777" w:rsidR="00747C4C" w:rsidRPr="00747C4C" w:rsidRDefault="00747C4C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14:paraId="0930ED1F" w14:textId="013596F5" w:rsidR="00465754" w:rsidRDefault="00465754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 w:rsidRPr="00465754">
        <w:rPr>
          <w:rFonts w:ascii="Verdana" w:hAnsi="Verdana"/>
          <w:b/>
          <w:color w:val="666666"/>
          <w:sz w:val="20"/>
          <w:szCs w:val="20"/>
        </w:rPr>
        <w:t xml:space="preserve">The </w:t>
      </w:r>
      <w:r>
        <w:rPr>
          <w:rFonts w:ascii="Verdana" w:hAnsi="Verdana"/>
          <w:b/>
          <w:color w:val="666666"/>
          <w:sz w:val="20"/>
          <w:szCs w:val="20"/>
        </w:rPr>
        <w:t>J</w:t>
      </w:r>
      <w:r w:rsidRPr="00465754">
        <w:rPr>
          <w:rFonts w:ascii="Verdana" w:hAnsi="Verdana"/>
          <w:b/>
          <w:color w:val="666666"/>
          <w:sz w:val="20"/>
          <w:szCs w:val="20"/>
        </w:rPr>
        <w:t xml:space="preserve">ournal </w:t>
      </w:r>
      <w:r>
        <w:rPr>
          <w:rFonts w:ascii="Verdana" w:hAnsi="Verdana"/>
          <w:b/>
          <w:color w:val="666666"/>
          <w:sz w:val="20"/>
          <w:szCs w:val="20"/>
        </w:rPr>
        <w:t>E</w:t>
      </w:r>
      <w:r w:rsidRPr="00465754">
        <w:rPr>
          <w:rFonts w:ascii="Verdana" w:hAnsi="Verdana"/>
          <w:b/>
          <w:color w:val="666666"/>
          <w:sz w:val="20"/>
          <w:szCs w:val="20"/>
        </w:rPr>
        <w:t>ntries</w:t>
      </w:r>
      <w:r>
        <w:rPr>
          <w:rFonts w:ascii="Verdana" w:hAnsi="Verdana"/>
          <w:color w:val="666666"/>
          <w:sz w:val="20"/>
          <w:szCs w:val="20"/>
        </w:rPr>
        <w:t xml:space="preserve"> </w:t>
      </w:r>
    </w:p>
    <w:p w14:paraId="0930ED20" w14:textId="77E502BE" w:rsidR="00CD5CD0" w:rsidRDefault="00CD5CD0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20 points for seven entries, creative and thoughtfully reflective.</w:t>
      </w:r>
      <w:r w:rsidR="00DC418A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br/>
      </w:r>
    </w:p>
    <w:p w14:paraId="0930ED21" w14:textId="77777777" w:rsidR="00465754" w:rsidRDefault="00465754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Neatness and creativity </w:t>
      </w:r>
      <w:r>
        <w:rPr>
          <w:rFonts w:ascii="Verdana" w:hAnsi="Verdana"/>
          <w:color w:val="666666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14:paraId="0930ED27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22" w14:textId="77777777"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0930ED23" w14:textId="77777777"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930ED24" w14:textId="77777777"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930ED25" w14:textId="77777777"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930ED26" w14:textId="77777777"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14:paraId="0930ED2D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28" w14:textId="77777777"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submitted creative yet legible entries in black ink that compelling and interesting to read.</w:t>
            </w:r>
          </w:p>
        </w:tc>
        <w:tc>
          <w:tcPr>
            <w:tcW w:w="1870" w:type="dxa"/>
          </w:tcPr>
          <w:p w14:paraId="0930ED29" w14:textId="77777777"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submitted creative yet legible entries in black ink.</w:t>
            </w:r>
          </w:p>
        </w:tc>
        <w:tc>
          <w:tcPr>
            <w:tcW w:w="1870" w:type="dxa"/>
          </w:tcPr>
          <w:p w14:paraId="0930ED2A" w14:textId="77777777"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typed or very neatly printed his or her entries in black ink.</w:t>
            </w:r>
          </w:p>
        </w:tc>
        <w:tc>
          <w:tcPr>
            <w:tcW w:w="1870" w:type="dxa"/>
          </w:tcPr>
          <w:p w14:paraId="0930ED2B" w14:textId="77777777" w:rsidR="00465754" w:rsidRDefault="00CD5CD0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not used the template and the reference- inference/ quote- reflection format was not followed. </w:t>
            </w:r>
          </w:p>
        </w:tc>
        <w:tc>
          <w:tcPr>
            <w:tcW w:w="1870" w:type="dxa"/>
          </w:tcPr>
          <w:p w14:paraId="0930ED2C" w14:textId="77777777" w:rsidR="00465754" w:rsidRDefault="00CD5CD0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Submission is inadequate OR submission is illegible. </w:t>
            </w:r>
          </w:p>
        </w:tc>
      </w:tr>
    </w:tbl>
    <w:p w14:paraId="0930ED2E" w14:textId="77777777"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br/>
      </w: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Selection of quotes (left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14:paraId="0930ED34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2F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0930ED30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930ED31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930ED32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930ED33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14:paraId="0930ED3A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35" w14:textId="77777777"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chosen quotes that span the story, showing a complete understanding of the plot, characters, conflict and theme of the novel.</w:t>
            </w:r>
          </w:p>
        </w:tc>
        <w:tc>
          <w:tcPr>
            <w:tcW w:w="1870" w:type="dxa"/>
          </w:tcPr>
          <w:p w14:paraId="0930ED36" w14:textId="77777777"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chosen quotes that span the story, showing an adequate understanding of the plot, characters, conflict and theme of the novel.</w:t>
            </w:r>
          </w:p>
        </w:tc>
        <w:tc>
          <w:tcPr>
            <w:tcW w:w="1870" w:type="dxa"/>
          </w:tcPr>
          <w:p w14:paraId="0930ED37" w14:textId="77777777"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chosen quotes that span from the exposition to the ending of the story, showing an understanding of the plot, characters, conflict and theme of the novel. </w:t>
            </w:r>
          </w:p>
        </w:tc>
        <w:tc>
          <w:tcPr>
            <w:tcW w:w="1870" w:type="dxa"/>
          </w:tcPr>
          <w:p w14:paraId="0930ED38" w14:textId="77777777"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930ED39" w14:textId="77777777"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</w:tr>
    </w:tbl>
    <w:p w14:paraId="0930ED3B" w14:textId="77777777" w:rsidR="00465754" w:rsidRDefault="00465754" w:rsidP="0021035B">
      <w:pPr>
        <w:spacing w:after="0" w:line="240" w:lineRule="auto"/>
        <w:rPr>
          <w:rStyle w:val="Strong"/>
          <w:rFonts w:ascii="Verdana" w:hAnsi="Verdana"/>
          <w:color w:val="666666"/>
          <w:sz w:val="20"/>
          <w:szCs w:val="20"/>
        </w:rPr>
      </w:pPr>
    </w:p>
    <w:p w14:paraId="0930ED3C" w14:textId="77777777"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Analytical level of reflections (right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14:paraId="0930ED42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3D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0930ED3E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930ED3F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930ED40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930ED41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14:paraId="0930ED48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43" w14:textId="77777777"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reflected on the quotes by making an in-depth analysis of literary elements through a distinct point of view.</w:t>
            </w:r>
          </w:p>
        </w:tc>
        <w:tc>
          <w:tcPr>
            <w:tcW w:w="1870" w:type="dxa"/>
          </w:tcPr>
          <w:p w14:paraId="0930ED44" w14:textId="77777777"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reflected on the quotes by making an adequate analysis of literary elements through a distinct point of view.</w:t>
            </w:r>
          </w:p>
        </w:tc>
        <w:tc>
          <w:tcPr>
            <w:tcW w:w="1870" w:type="dxa"/>
          </w:tcPr>
          <w:p w14:paraId="0930ED45" w14:textId="77777777"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reflected on the quotes in a way that shows an analysis of the plot, characters, conflict and theme of the novel.</w:t>
            </w:r>
          </w:p>
        </w:tc>
        <w:tc>
          <w:tcPr>
            <w:tcW w:w="1870" w:type="dxa"/>
          </w:tcPr>
          <w:p w14:paraId="0930ED46" w14:textId="77777777" w:rsidR="00465754" w:rsidRDefault="00CD5CD0" w:rsidP="00087124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reflected on the quotes in a way that shows </w:t>
            </w:r>
            <w:r w:rsidR="00087124">
              <w:rPr>
                <w:rFonts w:ascii="Verdana" w:hAnsi="Verdana"/>
                <w:color w:val="666666"/>
                <w:sz w:val="20"/>
                <w:szCs w:val="20"/>
              </w:rPr>
              <w:t xml:space="preserve">a connection to the text but does not provide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an </w:t>
            </w:r>
            <w:r w:rsidR="00087124">
              <w:rPr>
                <w:rFonts w:ascii="Verdana" w:hAnsi="Verdana"/>
                <w:color w:val="666666"/>
                <w:sz w:val="20"/>
                <w:szCs w:val="20"/>
              </w:rPr>
              <w:t>analysis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0930ED47" w14:textId="77777777" w:rsidR="00465754" w:rsidRDefault="0008712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attempted to reflect on the quotes but does not seem to connect to the literature. </w:t>
            </w:r>
          </w:p>
        </w:tc>
      </w:tr>
    </w:tbl>
    <w:p w14:paraId="0930ED49" w14:textId="0B0E62D6" w:rsidR="007F660D" w:rsidRDefault="007F660D" w:rsidP="0021035B">
      <w:pPr>
        <w:spacing w:after="0" w:line="240" w:lineRule="auto"/>
        <w:rPr>
          <w:rStyle w:val="Strong"/>
          <w:rFonts w:ascii="Verdana" w:hAnsi="Verdana"/>
          <w:color w:val="666666"/>
          <w:sz w:val="20"/>
          <w:szCs w:val="20"/>
        </w:rPr>
      </w:pPr>
    </w:p>
    <w:p w14:paraId="41F255B4" w14:textId="77777777" w:rsidR="007F660D" w:rsidRDefault="007F660D">
      <w:pPr>
        <w:rPr>
          <w:rStyle w:val="Strong"/>
          <w:rFonts w:ascii="Verdana" w:hAnsi="Verdana"/>
          <w:color w:val="666666"/>
          <w:sz w:val="20"/>
          <w:szCs w:val="20"/>
        </w:rPr>
      </w:pPr>
      <w:r>
        <w:rPr>
          <w:rStyle w:val="Strong"/>
          <w:rFonts w:ascii="Verdana" w:hAnsi="Verdana"/>
          <w:color w:val="666666"/>
          <w:sz w:val="20"/>
          <w:szCs w:val="20"/>
        </w:rPr>
        <w:br w:type="page"/>
      </w:r>
    </w:p>
    <w:p w14:paraId="4D067048" w14:textId="77777777" w:rsidR="00465754" w:rsidRDefault="00465754" w:rsidP="0021035B">
      <w:pPr>
        <w:spacing w:after="0" w:line="240" w:lineRule="auto"/>
        <w:rPr>
          <w:rStyle w:val="Strong"/>
          <w:rFonts w:ascii="Verdana" w:hAnsi="Verdana"/>
          <w:color w:val="666666"/>
          <w:sz w:val="20"/>
          <w:szCs w:val="20"/>
        </w:rPr>
      </w:pPr>
    </w:p>
    <w:p w14:paraId="0930ED4A" w14:textId="77777777"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Submission is on time and contains 7 correctly formatted entries 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14:paraId="0930ED50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4B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0930ED4C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930ED4D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930ED4E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930ED4F" w14:textId="77777777"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14:paraId="0930ED56" w14:textId="77777777" w:rsidTr="0021035B">
        <w:tc>
          <w:tcPr>
            <w:tcW w:w="1870" w:type="dxa"/>
            <w:shd w:val="clear" w:color="auto" w:fill="F2F2F2" w:themeFill="background1" w:themeFillShade="F2"/>
          </w:tcPr>
          <w:p w14:paraId="0930ED51" w14:textId="77777777"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Scholar’s entries contain quality choices of information to show he or she has read the text fully.</w:t>
            </w:r>
          </w:p>
        </w:tc>
        <w:tc>
          <w:tcPr>
            <w:tcW w:w="1870" w:type="dxa"/>
          </w:tcPr>
          <w:p w14:paraId="0930ED52" w14:textId="77777777" w:rsidR="00465754" w:rsidRDefault="009A6FB6" w:rsidP="009A6FB6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Scholar’s entries contain adequate information to show he or she has read the text fully.</w:t>
            </w:r>
          </w:p>
        </w:tc>
        <w:tc>
          <w:tcPr>
            <w:tcW w:w="1870" w:type="dxa"/>
          </w:tcPr>
          <w:p w14:paraId="0930ED53" w14:textId="77777777"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entries contain enough information to show he or she has read the text fully. </w:t>
            </w:r>
          </w:p>
        </w:tc>
        <w:tc>
          <w:tcPr>
            <w:tcW w:w="1870" w:type="dxa"/>
          </w:tcPr>
          <w:p w14:paraId="0930ED54" w14:textId="77777777"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Scholar’s submission was short of entries or the entries themselves were lacking in quality</w:t>
            </w:r>
          </w:p>
        </w:tc>
        <w:tc>
          <w:tcPr>
            <w:tcW w:w="1870" w:type="dxa"/>
          </w:tcPr>
          <w:p w14:paraId="0930ED55" w14:textId="77777777"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choice of format was inadequate OR scholar’s entries were </w:t>
            </w:r>
            <w:r w:rsidR="009A6FB6">
              <w:rPr>
                <w:rFonts w:ascii="Verdana" w:hAnsi="Verdana"/>
                <w:color w:val="666666"/>
                <w:sz w:val="20"/>
                <w:szCs w:val="20"/>
              </w:rPr>
              <w:t>inadequate</w:t>
            </w:r>
          </w:p>
        </w:tc>
      </w:tr>
    </w:tbl>
    <w:p w14:paraId="0930ED57" w14:textId="77777777" w:rsidR="00465754" w:rsidRDefault="00465754">
      <w:pPr>
        <w:rPr>
          <w:rStyle w:val="Strong"/>
          <w:rFonts w:ascii="Verdana" w:hAnsi="Verdana"/>
          <w:color w:val="666666"/>
          <w:sz w:val="20"/>
          <w:szCs w:val="20"/>
        </w:rPr>
      </w:pPr>
    </w:p>
    <w:p w14:paraId="0930ED65" w14:textId="4ED1CF18" w:rsidR="00087124" w:rsidRDefault="00465754" w:rsidP="00087124">
      <w:r>
        <w:rPr>
          <w:rStyle w:val="Strong"/>
          <w:rFonts w:ascii="Verdana" w:hAnsi="Verdana"/>
          <w:color w:val="666666"/>
          <w:sz w:val="20"/>
          <w:szCs w:val="20"/>
        </w:rPr>
        <w:t>Paper:</w:t>
      </w:r>
      <w:r>
        <w:rPr>
          <w:rFonts w:ascii="Verdana" w:hAnsi="Verdana"/>
          <w:color w:val="666666"/>
          <w:sz w:val="20"/>
          <w:szCs w:val="20"/>
        </w:rPr>
        <w:br/>
      </w:r>
      <w:r w:rsidR="00087124">
        <w:rPr>
          <w:rFonts w:ascii="Verdana" w:hAnsi="Verdana"/>
          <w:color w:val="666666"/>
          <w:sz w:val="20"/>
          <w:szCs w:val="20"/>
        </w:rPr>
        <w:t>Response to Literature</w:t>
      </w:r>
      <w:r w:rsidR="00087124">
        <w:rPr>
          <w:rStyle w:val="apple-converted-space"/>
          <w:rFonts w:ascii="Verdana" w:hAnsi="Verdana"/>
          <w:color w:val="666666"/>
          <w:sz w:val="20"/>
          <w:szCs w:val="20"/>
        </w:rPr>
        <w:t> </w:t>
      </w:r>
      <w:r w:rsidR="00087124">
        <w:rPr>
          <w:rStyle w:val="Strong"/>
          <w:rFonts w:ascii="Verdana" w:hAnsi="Verdana"/>
          <w:color w:val="666666"/>
          <w:sz w:val="20"/>
          <w:szCs w:val="20"/>
        </w:rPr>
        <w:t>Essay</w:t>
      </w:r>
      <w:r w:rsidR="00087124">
        <w:rPr>
          <w:rStyle w:val="apple-converted-space"/>
          <w:rFonts w:ascii="Verdana" w:hAnsi="Verdana"/>
          <w:b/>
          <w:bCs/>
          <w:color w:val="666666"/>
          <w:sz w:val="20"/>
          <w:szCs w:val="20"/>
        </w:rPr>
        <w:t> </w:t>
      </w:r>
      <w:r w:rsidR="00087124">
        <w:rPr>
          <w:rFonts w:ascii="Verdana" w:hAnsi="Verdana"/>
          <w:color w:val="666666"/>
          <w:sz w:val="20"/>
          <w:szCs w:val="20"/>
        </w:rPr>
        <w:t>(25 points counted in test/project as a paper).</w:t>
      </w:r>
    </w:p>
    <w:p w14:paraId="608A87D8" w14:textId="77777777" w:rsidR="002709B9" w:rsidRDefault="00465754">
      <w:pPr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Using your seven entries as brainstorming information, you will compose a </w:t>
      </w:r>
      <w:proofErr w:type="gramStart"/>
      <w:r>
        <w:rPr>
          <w:rFonts w:ascii="Verdana" w:hAnsi="Verdana"/>
          <w:color w:val="666666"/>
          <w:sz w:val="20"/>
          <w:szCs w:val="20"/>
        </w:rPr>
        <w:t>five paragraph</w:t>
      </w:r>
      <w:proofErr w:type="gramEnd"/>
      <w:r>
        <w:rPr>
          <w:rFonts w:ascii="Verdana" w:hAnsi="Verdana"/>
          <w:color w:val="666666"/>
          <w:sz w:val="20"/>
          <w:szCs w:val="20"/>
        </w:rPr>
        <w:t xml:space="preserve"> essay. Follow all </w:t>
      </w:r>
      <w:r w:rsidR="00077451">
        <w:rPr>
          <w:rFonts w:ascii="Verdana" w:hAnsi="Verdana"/>
          <w:color w:val="666666"/>
          <w:sz w:val="20"/>
          <w:szCs w:val="20"/>
        </w:rPr>
        <w:t>writing</w:t>
      </w:r>
      <w:r>
        <w:rPr>
          <w:rFonts w:ascii="Verdana" w:hAnsi="Verdana"/>
          <w:color w:val="666666"/>
          <w:sz w:val="20"/>
          <w:szCs w:val="20"/>
        </w:rPr>
        <w:t xml:space="preserve"> submission guidelines. </w:t>
      </w:r>
      <w:r w:rsidR="00077451">
        <w:rPr>
          <w:rFonts w:ascii="Verdana" w:hAnsi="Verdana"/>
          <w:color w:val="666666"/>
          <w:sz w:val="20"/>
          <w:szCs w:val="20"/>
        </w:rPr>
        <w:t xml:space="preserve">DO </w:t>
      </w:r>
      <w:proofErr w:type="spellStart"/>
      <w:r w:rsidR="00077451">
        <w:rPr>
          <w:rFonts w:ascii="Verdana" w:hAnsi="Verdana"/>
          <w:color w:val="666666"/>
          <w:sz w:val="20"/>
          <w:szCs w:val="20"/>
        </w:rPr>
        <w:t>NOTwrite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 the paper until you have been assigned a topic. Since everything we do is progressive in nature, the </w:t>
      </w:r>
      <w:r w:rsidRPr="00CD5CD0">
        <w:rPr>
          <w:rFonts w:ascii="Verdana" w:hAnsi="Verdana"/>
          <w:color w:val="666666"/>
          <w:sz w:val="20"/>
          <w:szCs w:val="20"/>
          <w:u w:val="single"/>
        </w:rPr>
        <w:t xml:space="preserve">first two </w:t>
      </w:r>
      <w:r w:rsidR="00077451">
        <w:rPr>
          <w:rFonts w:ascii="Verdana" w:hAnsi="Verdana"/>
          <w:color w:val="666666"/>
          <w:sz w:val="20"/>
          <w:szCs w:val="20"/>
          <w:u w:val="single"/>
        </w:rPr>
        <w:t xml:space="preserve">drafts </w:t>
      </w:r>
      <w:r w:rsidRPr="00CD5CD0">
        <w:rPr>
          <w:rFonts w:ascii="Verdana" w:hAnsi="Verdana"/>
          <w:color w:val="666666"/>
          <w:sz w:val="20"/>
          <w:szCs w:val="20"/>
          <w:u w:val="single"/>
        </w:rPr>
        <w:t>papers must be peer edited and revised so you will be assigned what you need based on where you are in the writing process personally</w:t>
      </w:r>
      <w:r>
        <w:rPr>
          <w:rFonts w:ascii="Verdana" w:hAnsi="Verdana"/>
          <w:color w:val="666666"/>
          <w:sz w:val="20"/>
          <w:szCs w:val="20"/>
        </w:rPr>
        <w:t>.  </w:t>
      </w:r>
      <w:r w:rsidR="00087124">
        <w:rPr>
          <w:rFonts w:ascii="Verdana" w:hAnsi="Verdana"/>
          <w:color w:val="666666"/>
          <w:sz w:val="20"/>
          <w:szCs w:val="20"/>
        </w:rPr>
        <w:t xml:space="preserve">Please use the outline and rubric on the “Resources” page on </w:t>
      </w:r>
      <w:hyperlink r:id="rId5" w:history="1">
        <w:r w:rsidR="00087124" w:rsidRPr="00B51168">
          <w:rPr>
            <w:rStyle w:val="Hyperlink"/>
            <w:rFonts w:ascii="Verdana" w:hAnsi="Verdana"/>
            <w:sz w:val="20"/>
            <w:szCs w:val="20"/>
          </w:rPr>
          <w:t>www.hovanela.weebly.com</w:t>
        </w:r>
      </w:hyperlink>
      <w:r w:rsidR="00087124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br/>
      </w:r>
    </w:p>
    <w:p w14:paraId="0930ED66" w14:textId="51AD77A0" w:rsidR="00465754" w:rsidRDefault="002709B9">
      <w:r>
        <w:rPr>
          <w:rFonts w:ascii="Verdana" w:hAnsi="Verdana"/>
          <w:color w:val="666666"/>
          <w:sz w:val="20"/>
          <w:szCs w:val="20"/>
        </w:rPr>
        <w:t xml:space="preserve">NO HANDWRITTEN PAPERS OR OUTLINES WILL BE ACCEPTED. </w:t>
      </w:r>
      <w:r w:rsidR="00465754">
        <w:rPr>
          <w:rFonts w:ascii="Verdana" w:hAnsi="Verdana"/>
          <w:color w:val="666666"/>
          <w:sz w:val="20"/>
          <w:szCs w:val="20"/>
        </w:rPr>
        <w:br/>
      </w:r>
      <w:r w:rsidR="00465754">
        <w:rPr>
          <w:rFonts w:ascii="Verdana" w:hAnsi="Verdana"/>
          <w:color w:val="666666"/>
          <w:sz w:val="20"/>
          <w:szCs w:val="20"/>
        </w:rPr>
        <w:br/>
      </w:r>
    </w:p>
    <w:sectPr w:rsidR="00465754" w:rsidSect="00210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54"/>
    <w:rsid w:val="00077451"/>
    <w:rsid w:val="00087124"/>
    <w:rsid w:val="00095AA3"/>
    <w:rsid w:val="000A1BD1"/>
    <w:rsid w:val="001F4852"/>
    <w:rsid w:val="0021035B"/>
    <w:rsid w:val="0021305C"/>
    <w:rsid w:val="002235A1"/>
    <w:rsid w:val="002709B9"/>
    <w:rsid w:val="002A74F3"/>
    <w:rsid w:val="00465754"/>
    <w:rsid w:val="004E3B82"/>
    <w:rsid w:val="00663E9A"/>
    <w:rsid w:val="00695535"/>
    <w:rsid w:val="00747C4C"/>
    <w:rsid w:val="007F660D"/>
    <w:rsid w:val="008F7009"/>
    <w:rsid w:val="00926A27"/>
    <w:rsid w:val="009A6FB6"/>
    <w:rsid w:val="00C2197F"/>
    <w:rsid w:val="00C21C85"/>
    <w:rsid w:val="00CD5CD0"/>
    <w:rsid w:val="00D44674"/>
    <w:rsid w:val="00D4515F"/>
    <w:rsid w:val="00D6445C"/>
    <w:rsid w:val="00DC418A"/>
    <w:rsid w:val="00E47E5D"/>
    <w:rsid w:val="00EC1D71"/>
    <w:rsid w:val="00F34094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ED1E"/>
  <w15:chartTrackingRefBased/>
  <w15:docId w15:val="{377787CA-21F0-4AF1-8CDF-A85A65E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754"/>
    <w:rPr>
      <w:b/>
      <w:bCs/>
    </w:rPr>
  </w:style>
  <w:style w:type="character" w:customStyle="1" w:styleId="apple-converted-space">
    <w:name w:val="apple-converted-space"/>
    <w:basedOn w:val="DefaultParagraphFont"/>
    <w:rsid w:val="00465754"/>
  </w:style>
  <w:style w:type="table" w:styleId="TableGrid">
    <w:name w:val="Table Grid"/>
    <w:basedOn w:val="TableNormal"/>
    <w:uiPriority w:val="39"/>
    <w:rsid w:val="0046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vanela.weebly.com" TargetMode="External"/><Relationship Id="rId4" Type="http://schemas.openxmlformats.org/officeDocument/2006/relationships/hyperlink" Target="http://www.hovanel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2018-12-02T15:40:00Z</dcterms:created>
  <dcterms:modified xsi:type="dcterms:W3CDTF">2018-12-02T15:40:00Z</dcterms:modified>
</cp:coreProperties>
</file>